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FB7B" w14:textId="69E368E5" w:rsidR="00435201" w:rsidRPr="00B91BBC" w:rsidRDefault="00000000" w:rsidP="00B91BBC">
      <w:pPr>
        <w:spacing w:after="200"/>
        <w:jc w:val="center"/>
        <w:rPr>
          <w:rFonts w:ascii="Palatino Linotype" w:hAnsi="Palatino Linotype"/>
          <w:b/>
          <w:bCs/>
        </w:rPr>
      </w:pPr>
      <w:r w:rsidRPr="00B91BBC">
        <w:rPr>
          <w:rFonts w:ascii="Palatino Linotype" w:hAnsi="Palatino Linotype"/>
          <w:b/>
          <w:bCs/>
        </w:rPr>
        <w:t>Introduzione</w:t>
      </w:r>
    </w:p>
    <w:p w14:paraId="130666E4" w14:textId="77777777" w:rsidR="00435201" w:rsidRPr="00B91BBC" w:rsidRDefault="00000000" w:rsidP="00B91BBC">
      <w:pPr>
        <w:spacing w:after="200"/>
        <w:jc w:val="both"/>
        <w:rPr>
          <w:rFonts w:ascii="Palatino Linotype" w:hAnsi="Palatino Linotype"/>
        </w:rPr>
      </w:pPr>
      <w:r w:rsidRPr="00B91BBC">
        <w:rPr>
          <w:rFonts w:ascii="Palatino Linotype" w:hAnsi="Palatino Linotype"/>
        </w:rPr>
        <w:t xml:space="preserve">Questa dispensa raccoglie cinque brani fondamentali del Satyricon di Petronio in traduzione italiana, selezionati per offrire una panoramica completa dell’opera: dalla critica alla retorica scolastica (Sat. 1–2) alla </w:t>
      </w:r>
      <w:r w:rsidRPr="00B91BBC">
        <w:rPr>
          <w:rFonts w:ascii="Palatino Linotype" w:hAnsi="Palatino Linotype"/>
          <w:i/>
          <w:iCs/>
        </w:rPr>
        <w:t>Cena Trimalchionis</w:t>
      </w:r>
      <w:r w:rsidRPr="00B91BBC">
        <w:rPr>
          <w:rFonts w:ascii="Palatino Linotype" w:hAnsi="Palatino Linotype"/>
        </w:rPr>
        <w:t xml:space="preserve"> (Sat. 31–33 e 37–38), dall’autobiografia del liberto arricchito (Sat. 75–77) alla riflessione sulla poetica (Sat. 118).</w:t>
      </w:r>
    </w:p>
    <w:p w14:paraId="36107F5C"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t>Brano 1</w:t>
      </w:r>
    </w:p>
    <w:p w14:paraId="31F2B447" w14:textId="77777777" w:rsidR="00435201" w:rsidRPr="00B91BBC" w:rsidRDefault="00000000" w:rsidP="00B91BBC">
      <w:pPr>
        <w:pStyle w:val="Heading2"/>
        <w:jc w:val="both"/>
        <w:rPr>
          <w:rFonts w:ascii="Palatino Linotype" w:hAnsi="Palatino Linotype"/>
        </w:rPr>
      </w:pPr>
      <w:r w:rsidRPr="00B91BBC">
        <w:rPr>
          <w:rFonts w:ascii="Palatino Linotype" w:hAnsi="Palatino Linotype"/>
        </w:rPr>
        <w:t>Sat. 1–2 — Critica delle scuole di retorica</w:t>
      </w:r>
    </w:p>
    <w:p w14:paraId="46FAE90D" w14:textId="77777777" w:rsidR="00435201" w:rsidRPr="00B91BBC" w:rsidRDefault="00000000" w:rsidP="00B91BBC">
      <w:pPr>
        <w:spacing w:after="200"/>
        <w:jc w:val="both"/>
        <w:rPr>
          <w:rFonts w:ascii="Palatino Linotype" w:hAnsi="Palatino Linotype"/>
        </w:rPr>
      </w:pPr>
      <w:r w:rsidRPr="00B91BBC">
        <w:rPr>
          <w:rFonts w:ascii="Palatino Linotype" w:hAnsi="Palatino Linotype"/>
          <w:i/>
          <w:iCs/>
          <w:color w:val="5A4E3C"/>
        </w:rPr>
        <w:t>Encolpio discute con il retore Agamennone sulla decadenza dell’oratoria. È l’apertura del Satyricon conservato.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35201" w:rsidRPr="00B91BBC" w14:paraId="4961FB90" w14:textId="77777777">
        <w:tblPrEx>
          <w:tblCellMar>
            <w:top w:w="0" w:type="dxa"/>
            <w:bottom w:w="0" w:type="dxa"/>
          </w:tblCellMar>
        </w:tblPrEx>
        <w:tc>
          <w:tcPr>
            <w:tcW w:w="9026" w:type="dxa"/>
            <w:tcBorders>
              <w:top w:val="single" w:sz="1" w:space="0" w:color="D4C9B8"/>
              <w:left w:val="single" w:sz="6" w:space="0" w:color="B8915A"/>
              <w:bottom w:val="single" w:sz="1" w:space="0" w:color="D4C9B8"/>
              <w:right w:val="single" w:sz="1" w:space="0" w:color="D4C9B8"/>
            </w:tcBorders>
            <w:shd w:val="clear" w:color="auto" w:fill="FBF8F3"/>
            <w:tcMar>
              <w:top w:w="160" w:type="dxa"/>
              <w:left w:w="240" w:type="dxa"/>
              <w:bottom w:w="160" w:type="dxa"/>
              <w:right w:w="240" w:type="dxa"/>
            </w:tcMar>
          </w:tcPr>
          <w:p w14:paraId="22CB68B9" w14:textId="77777777" w:rsidR="00435201" w:rsidRPr="00B91BBC" w:rsidRDefault="00000000" w:rsidP="00B91BBC">
            <w:pPr>
              <w:spacing w:after="120"/>
              <w:jc w:val="both"/>
              <w:rPr>
                <w:rFonts w:ascii="Palatino Linotype" w:hAnsi="Palatino Linotype"/>
              </w:rPr>
            </w:pPr>
            <w:r w:rsidRPr="00B91BBC">
              <w:rPr>
                <w:rFonts w:ascii="Palatino Linotype" w:hAnsi="Palatino Linotype"/>
                <w:b/>
                <w:bCs/>
                <w:caps/>
                <w:color w:val="B8915A"/>
                <w:sz w:val="20"/>
                <w:szCs w:val="20"/>
              </w:rPr>
              <w:t>TESTO IN TRADUZIONE</w:t>
            </w:r>
          </w:p>
          <w:p w14:paraId="707D423E"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«Ma non sono forse invasati dallo stesso furore anche i nostri retori, che vanno strillando: “Queste ferite le ho buscate per la libertà del popolo; quest’occhio l’ho sacrificato per voi; datemi qualcuno che mi porti dai miei figli, perché le mie ginocchia mutilate non mi reggono più”? Queste tirate sarebbero ancora tollerabili se spianassero la strada a chi si avvia verso l’eloquenza. Ma al momento l’unico risultato di questa pomposità di argomenti e di questo vano strepitio di frasi a effetto è che i giovani, quando mettono piede nel foro, si sentono catapultati su un altro pianeta. E io sono convinto che nelle scuole i ragazzi diventino dei perfetti imbecilli, perché non vedono e non sentono nulla che abbia a che fare con la vita reale, ma solo pirati in catene sulla spiaggia, tiranni che firmano editti per ordinare ai figli di tagliare la testa ai propri padri, oracoli che in caso di pestilenza prescrivono l’immolazione di tre o più vergini — e intanto le parole si ricoprono di miele, ogni parola e ogni gesto sono come cosparsi di sesamo e di papavero.</w:t>
            </w:r>
          </w:p>
          <w:p w14:paraId="106337D7"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 xml:space="preserve">Chi viene allevato in questo modo non ha più capacità di giudizio di quanta ne abbiano gli sguatteri: con il vostro permesso, siete stati voi per primi a mandare in malora l’eloquenza, perché a forza di fare i buffoni con le vostre tiritera vuote e insulse, avete ridotto il corpo dell’oratoria a una larva. I giovani non venivano ancora legati a esercitazioni obbligate quando Sofocle e Euripide trovarono le parole giuste </w:t>
            </w:r>
            <w:r w:rsidRPr="00B91BBC">
              <w:rPr>
                <w:rFonts w:ascii="Palatino Linotype" w:hAnsi="Palatino Linotype"/>
                <w:sz w:val="23"/>
                <w:szCs w:val="23"/>
              </w:rPr>
              <w:lastRenderedPageBreak/>
              <w:t>per esprimersi. Il maestro chiuso in una stanza non aveva ancora rovinato l’ingegno quando Pindaro e i nove lirici rinunciarono a gareggiare con i versi omerici.»</w:t>
            </w:r>
          </w:p>
        </w:tc>
      </w:tr>
    </w:tbl>
    <w:p w14:paraId="4EFC8F97" w14:textId="77777777" w:rsidR="00435201" w:rsidRPr="00B91BBC" w:rsidRDefault="00000000" w:rsidP="00B91BBC">
      <w:pPr>
        <w:spacing w:before="240" w:after="100"/>
        <w:jc w:val="both"/>
        <w:rPr>
          <w:rFonts w:ascii="Palatino Linotype" w:hAnsi="Palatino Linotype"/>
        </w:rPr>
      </w:pPr>
      <w:r w:rsidRPr="00B91BBC">
        <w:rPr>
          <w:rFonts w:ascii="Palatino Linotype" w:hAnsi="Palatino Linotype"/>
          <w:b/>
          <w:bCs/>
          <w:color w:val="5A4E3C"/>
        </w:rPr>
        <w:t>Commento</w:t>
      </w:r>
    </w:p>
    <w:p w14:paraId="4A1D6A3F"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sz w:val="23"/>
          <w:szCs w:val="23"/>
        </w:rPr>
        <w:t>Encolpio denuncia il distacco tra le scuole di retorica e la realtà: gli esercizi declamatori, con i loro pirati e tiranni, non preparano i giovani alla vita del foro. La critica alla decadenza dell’eloquenza è un tema tipico dell’età imperiale (cfr. Tacito, Dialogus de oratoribus).</w:t>
      </w:r>
    </w:p>
    <w:p w14:paraId="6581DD48" w14:textId="77777777" w:rsidR="00435201" w:rsidRPr="00B91BBC" w:rsidRDefault="00000000" w:rsidP="00B91BBC">
      <w:pPr>
        <w:jc w:val="both"/>
        <w:rPr>
          <w:rFonts w:ascii="Palatino Linotype" w:hAnsi="Palatino Linotype"/>
        </w:rPr>
      </w:pPr>
      <w:r w:rsidRPr="00B91BBC">
        <w:rPr>
          <w:rFonts w:ascii="Palatino Linotype" w:hAnsi="Palatino Linotype"/>
        </w:rPr>
        <w:br w:type="page"/>
      </w:r>
    </w:p>
    <w:p w14:paraId="421310A9"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lastRenderedPageBreak/>
        <w:t>Brano 2</w:t>
      </w:r>
    </w:p>
    <w:p w14:paraId="707306BF" w14:textId="77777777" w:rsidR="00435201" w:rsidRPr="00B91BBC" w:rsidRDefault="00000000" w:rsidP="00B91BBC">
      <w:pPr>
        <w:pStyle w:val="Heading2"/>
        <w:jc w:val="both"/>
        <w:rPr>
          <w:rFonts w:ascii="Palatino Linotype" w:hAnsi="Palatino Linotype"/>
        </w:rPr>
      </w:pPr>
      <w:r w:rsidRPr="00B91BBC">
        <w:rPr>
          <w:rFonts w:ascii="Palatino Linotype" w:hAnsi="Palatino Linotype"/>
        </w:rPr>
        <w:t>Sat. 31–33 — L’ingresso alla Cena di Trimalchione</w:t>
      </w:r>
    </w:p>
    <w:p w14:paraId="07D6C80C" w14:textId="77777777" w:rsidR="00435201" w:rsidRPr="00B91BBC" w:rsidRDefault="00000000" w:rsidP="00B91BBC">
      <w:pPr>
        <w:spacing w:after="200"/>
        <w:jc w:val="both"/>
        <w:rPr>
          <w:rFonts w:ascii="Palatino Linotype" w:hAnsi="Palatino Linotype"/>
        </w:rPr>
      </w:pPr>
      <w:r w:rsidRPr="00B91BBC">
        <w:rPr>
          <w:rFonts w:ascii="Palatino Linotype" w:hAnsi="Palatino Linotype"/>
          <w:i/>
          <w:iCs/>
          <w:color w:val="5A4E3C"/>
        </w:rPr>
        <w:t>Il momento culminante: Trimalchione fa la sua apparizione al banchetto. Ogni dettaglio costruisce il ritratto del liberto arricchito.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35201" w:rsidRPr="00B91BBC" w14:paraId="0AE6AE18" w14:textId="77777777">
        <w:tblPrEx>
          <w:tblCellMar>
            <w:top w:w="0" w:type="dxa"/>
            <w:bottom w:w="0" w:type="dxa"/>
          </w:tblCellMar>
        </w:tblPrEx>
        <w:tc>
          <w:tcPr>
            <w:tcW w:w="9026" w:type="dxa"/>
            <w:tcBorders>
              <w:top w:val="single" w:sz="1" w:space="0" w:color="D4C9B8"/>
              <w:left w:val="single" w:sz="6" w:space="0" w:color="B8915A"/>
              <w:bottom w:val="single" w:sz="1" w:space="0" w:color="D4C9B8"/>
              <w:right w:val="single" w:sz="1" w:space="0" w:color="D4C9B8"/>
            </w:tcBorders>
            <w:shd w:val="clear" w:color="auto" w:fill="FBF8F3"/>
            <w:tcMar>
              <w:top w:w="160" w:type="dxa"/>
              <w:left w:w="240" w:type="dxa"/>
              <w:bottom w:w="160" w:type="dxa"/>
              <w:right w:w="240" w:type="dxa"/>
            </w:tcMar>
          </w:tcPr>
          <w:p w14:paraId="55C5352C" w14:textId="77777777" w:rsidR="00435201" w:rsidRPr="00B91BBC" w:rsidRDefault="00000000" w:rsidP="00B91BBC">
            <w:pPr>
              <w:spacing w:after="120"/>
              <w:jc w:val="both"/>
              <w:rPr>
                <w:rFonts w:ascii="Palatino Linotype" w:hAnsi="Palatino Linotype"/>
              </w:rPr>
            </w:pPr>
            <w:r w:rsidRPr="00B91BBC">
              <w:rPr>
                <w:rFonts w:ascii="Palatino Linotype" w:hAnsi="Palatino Linotype"/>
                <w:b/>
                <w:bCs/>
                <w:caps/>
                <w:color w:val="B8915A"/>
                <w:sz w:val="20"/>
                <w:szCs w:val="20"/>
              </w:rPr>
              <w:t>TESTO IN TRADUZIONE</w:t>
            </w:r>
          </w:p>
          <w:p w14:paraId="0995B766"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Non avevamo ancora avuto il tempo di ammirare tutte quelle raffinatezze, che Trimalchione in persona, trasportato a suon di musica, fu adagiato su dei cuscinetti microscopici; e noi scoppiammo a ridere perché la cosa ci colse di sorpresa. Infatti gli spuntava la testa pelata dal mantello rosso fuoco, e intorno al collo già imbacuccato per bene si era avvolto un foulard di porpora con frange che gli pendevano da una parte e dall’altra. Al mignolo della mano sinistra portava un enorme anello dorato, e nell’ultima falange dell’anulare ne aveva uno più piccolo, che mi parve tutto d’oro, ma in realtà era tempestato di scagliette di ferro che imitavano delle stelle. E per non limitarsi a sfoggiare solo quei gioielli, si scoprì il braccio destro ornato di un bracciale d’oro e di un cerchio d’avorio chiuso con una placca di metallo lucente.</w:t>
            </w:r>
          </w:p>
          <w:p w14:paraId="4FA9726F"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Dopo essersi stuzzicato i denti con uno stecchino d’argento, «Amici miei» disse, «non avevo ancora voglia di venire a tavola, ma per non farvi aspettare con la mia assenza, ho sacrificato il mio piacere personale. Però permettetemi di finire la partita». Gli veniva dietro uno schiavetto con una scacchiera di terebinto e dadi di cristallo, e notai un lusso davvero singolare: al posto delle pedine bianche e nere, aveva monete d’oro e d’argento.</w:t>
            </w:r>
          </w:p>
          <w:p w14:paraId="3297F6E0"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 xml:space="preserve">E mentre lui continuava a giocare sfoderando un repertorio completo di imprecazioni, e noi eravamo ancora all’antipasto, venne portato un vassoio con sopra una gallina di legno con le ali aperte a cerchio, come quando cova. Subito due schiavi, sul sottofondo assordante della musica, frugano nella paglia e ne tirano fuori delle uova di pavone, che distribuiscono ai commensali. Di fronte al colpo di scena, Trimalchione alza lo sguardo: «Amici» dice «ho ordinato di mettere le uova di pavone sotto la gallina. Ma, per Ercole, ho paura che ci sia già il pulcino. Vediamo se </w:t>
            </w:r>
            <w:r w:rsidRPr="00B91BBC">
              <w:rPr>
                <w:rFonts w:ascii="Palatino Linotype" w:hAnsi="Palatino Linotype"/>
                <w:sz w:val="23"/>
                <w:szCs w:val="23"/>
              </w:rPr>
              <w:lastRenderedPageBreak/>
              <w:t>si possono ancora mandare giù». Noi prendiamo dei cucchiai pesanti non meno di mezza libbra e spaccammo le uova rivestite di un impasto di farina: io stavo quasi per buttare via il mio, perché mi sembrava che dentro si fosse già formato il pulcino. Poi sentii un habitué dire: «Qui dentro ci dev’essere qualcosa di buono», frugai con la mano nel guscio e ci trovai un grassissimo beccafico, immerso in tuorlo d’uovo al pepe.</w:t>
            </w:r>
          </w:p>
        </w:tc>
      </w:tr>
    </w:tbl>
    <w:p w14:paraId="4EB18378" w14:textId="77777777" w:rsidR="00435201" w:rsidRPr="00B91BBC" w:rsidRDefault="00000000" w:rsidP="00B91BBC">
      <w:pPr>
        <w:spacing w:before="240" w:after="100"/>
        <w:jc w:val="both"/>
        <w:rPr>
          <w:rFonts w:ascii="Palatino Linotype" w:hAnsi="Palatino Linotype"/>
        </w:rPr>
      </w:pPr>
      <w:r w:rsidRPr="00B91BBC">
        <w:rPr>
          <w:rFonts w:ascii="Palatino Linotype" w:hAnsi="Palatino Linotype"/>
          <w:b/>
          <w:bCs/>
          <w:color w:val="5A4E3C"/>
        </w:rPr>
        <w:t>Commento</w:t>
      </w:r>
    </w:p>
    <w:p w14:paraId="0B0D67A4"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sz w:val="23"/>
          <w:szCs w:val="23"/>
        </w:rPr>
        <w:t>Ogni elemento è un segnale sociale: il mantello rosso, gli anelli esagerati, lo stecchino d’argento, le pedine d’oro. Trimalchione confonde sistematicamente ricchezza e raffinatezza. L’effetto è comico, ma anche sociologico: Petronio documenta il gusto di una classe emergente.</w:t>
      </w:r>
    </w:p>
    <w:p w14:paraId="1C4DB847" w14:textId="77777777" w:rsidR="00435201" w:rsidRPr="00B91BBC" w:rsidRDefault="00000000" w:rsidP="00B91BBC">
      <w:pPr>
        <w:jc w:val="both"/>
        <w:rPr>
          <w:rFonts w:ascii="Palatino Linotype" w:hAnsi="Palatino Linotype"/>
        </w:rPr>
      </w:pPr>
      <w:r w:rsidRPr="00B91BBC">
        <w:rPr>
          <w:rFonts w:ascii="Palatino Linotype" w:hAnsi="Palatino Linotype"/>
        </w:rPr>
        <w:br w:type="page"/>
      </w:r>
    </w:p>
    <w:p w14:paraId="6CA32A05"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lastRenderedPageBreak/>
        <w:t>Brano 3</w:t>
      </w:r>
    </w:p>
    <w:p w14:paraId="4A9004CA" w14:textId="77777777" w:rsidR="00435201" w:rsidRPr="00B91BBC" w:rsidRDefault="00000000" w:rsidP="00B91BBC">
      <w:pPr>
        <w:pStyle w:val="Heading2"/>
        <w:jc w:val="both"/>
        <w:rPr>
          <w:rFonts w:ascii="Palatino Linotype" w:hAnsi="Palatino Linotype"/>
        </w:rPr>
      </w:pPr>
      <w:r w:rsidRPr="00B91BBC">
        <w:rPr>
          <w:rFonts w:ascii="Palatino Linotype" w:hAnsi="Palatino Linotype"/>
        </w:rPr>
        <w:t>Sat. 37–38 — Fortunata e gli ospiti</w:t>
      </w:r>
    </w:p>
    <w:p w14:paraId="1214A6B5" w14:textId="77777777" w:rsidR="00435201" w:rsidRPr="00B91BBC" w:rsidRDefault="00000000" w:rsidP="00B91BBC">
      <w:pPr>
        <w:spacing w:after="200"/>
        <w:jc w:val="both"/>
        <w:rPr>
          <w:rFonts w:ascii="Palatino Linotype" w:hAnsi="Palatino Linotype"/>
        </w:rPr>
      </w:pPr>
      <w:r w:rsidRPr="00B91BBC">
        <w:rPr>
          <w:rFonts w:ascii="Palatino Linotype" w:hAnsi="Palatino Linotype"/>
          <w:i/>
          <w:iCs/>
          <w:color w:val="5A4E3C"/>
        </w:rPr>
        <w:t>Un commensale descrive a Encolpio gli altri ospiti del banchetto, rivelando il mondo sociale dei liberti.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35201" w:rsidRPr="00B91BBC" w14:paraId="48201073" w14:textId="77777777">
        <w:tblPrEx>
          <w:tblCellMar>
            <w:top w:w="0" w:type="dxa"/>
            <w:bottom w:w="0" w:type="dxa"/>
          </w:tblCellMar>
        </w:tblPrEx>
        <w:tc>
          <w:tcPr>
            <w:tcW w:w="9026" w:type="dxa"/>
            <w:tcBorders>
              <w:top w:val="single" w:sz="1" w:space="0" w:color="D4C9B8"/>
              <w:left w:val="single" w:sz="6" w:space="0" w:color="B8915A"/>
              <w:bottom w:val="single" w:sz="1" w:space="0" w:color="D4C9B8"/>
              <w:right w:val="single" w:sz="1" w:space="0" w:color="D4C9B8"/>
            </w:tcBorders>
            <w:shd w:val="clear" w:color="auto" w:fill="FBF8F3"/>
            <w:tcMar>
              <w:top w:w="160" w:type="dxa"/>
              <w:left w:w="240" w:type="dxa"/>
              <w:bottom w:w="160" w:type="dxa"/>
              <w:right w:w="240" w:type="dxa"/>
            </w:tcMar>
          </w:tcPr>
          <w:p w14:paraId="3D4C21C1" w14:textId="77777777" w:rsidR="00435201" w:rsidRPr="00B91BBC" w:rsidRDefault="00000000" w:rsidP="00B91BBC">
            <w:pPr>
              <w:spacing w:after="120"/>
              <w:jc w:val="both"/>
              <w:rPr>
                <w:rFonts w:ascii="Palatino Linotype" w:hAnsi="Palatino Linotype"/>
              </w:rPr>
            </w:pPr>
            <w:r w:rsidRPr="00B91BBC">
              <w:rPr>
                <w:rFonts w:ascii="Palatino Linotype" w:hAnsi="Palatino Linotype"/>
                <w:b/>
                <w:bCs/>
                <w:caps/>
                <w:color w:val="B8915A"/>
                <w:sz w:val="20"/>
                <w:szCs w:val="20"/>
              </w:rPr>
              <w:t>TESTO IN TRADUZIONE</w:t>
            </w:r>
          </w:p>
          <w:p w14:paraId="2CB7C534"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«Vedi quella che sta seduta all’ultimo posto? È Fortunata, la moglie di Trimalchione. E contava i soldi a moggi! Ma prima, prima cosa era? Con il dovuto rispetto, non avresti voluto prendere il pane dalle sue mani. Adesso, senza capire né come né perché, è arrivata in cielo, ed è la quintessenza di Trimalchione. Insomma, se a mezzogiorno gli dicesse che è buio, lui ci crederebbe. Lui nemmeno sa quello che possiede, tanto è pieno di soldi; ma questa befana vede dappertutto, anche dove non te lo aspetti. È sobria, giudiziosa, piena di buoni consigli. Però ha la lingua biforcuta: è una gazza sul divano. Chi le piace le piace, chi non le piace non le piace.</w:t>
            </w:r>
          </w:p>
          <w:p w14:paraId="2115186F"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E Trimalchione? Ha terre a perdita d’occhio, un patrimonio da nibbi volanti; nella portineria del suo palazzo c’è più argento di quanto qualcun altro ne possieda in tutto il suo patrimonio. E la servitù? Per Ercole, non credo che nemmeno uno su dieci conosca il padrone di vista. Insomma, potrebbe ficcare sotto il tavolo qualunque di questi bellocci.»</w:t>
            </w:r>
          </w:p>
          <w:p w14:paraId="41572B2C"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«E non credere che compri niente: tutto nasce in casa. Lana, limoni, pepe — se chiedi latte di gallina, lo trovi. La lana non era abbastanza buona: comprò degli arieti a Taranto e li fece montare sulle pecore. Per avere il miele in casa, fece venire le api dall’Attica. Tanto per migliorare un po’ anche le api nostrane. E in questi giorni, t’informo, ha scritto per farsi mandare dei semi di funghi dall’India. E non ha neanche una mula che non sia nata da un onagro. Vedi tutti quei cuscini? Non ce n’è uno che non abbia un’imbottitura di porpora o di scarlatto. Beato lui!»</w:t>
            </w:r>
          </w:p>
        </w:tc>
      </w:tr>
    </w:tbl>
    <w:p w14:paraId="1123E0F9" w14:textId="77777777" w:rsidR="00435201" w:rsidRPr="00B91BBC" w:rsidRDefault="00000000" w:rsidP="00B91BBC">
      <w:pPr>
        <w:spacing w:before="240" w:after="100"/>
        <w:jc w:val="both"/>
        <w:rPr>
          <w:rFonts w:ascii="Palatino Linotype" w:hAnsi="Palatino Linotype"/>
        </w:rPr>
      </w:pPr>
      <w:r w:rsidRPr="00B91BBC">
        <w:rPr>
          <w:rFonts w:ascii="Palatino Linotype" w:hAnsi="Palatino Linotype"/>
          <w:b/>
          <w:bCs/>
          <w:color w:val="5A4E3C"/>
        </w:rPr>
        <w:t>Commento</w:t>
      </w:r>
    </w:p>
    <w:p w14:paraId="287A7817"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sz w:val="23"/>
          <w:szCs w:val="23"/>
        </w:rPr>
        <w:lastRenderedPageBreak/>
        <w:t>Il latino dei liberti è qui evidentissimo: proverbi popolari (“non avresti voluto prendere il pane dalle sue mani”), iperboli grottesche (“latte di gallina”), errori grammaticali che Petronio riproduce con precisione. Il commensale ammira sinceramente ciò che al lettore colto appare volgare: è il doppio livello della parodia petroniana.</w:t>
      </w:r>
    </w:p>
    <w:p w14:paraId="7D5DD6B4" w14:textId="77777777" w:rsidR="00435201" w:rsidRPr="00B91BBC" w:rsidRDefault="00000000" w:rsidP="00B91BBC">
      <w:pPr>
        <w:jc w:val="both"/>
        <w:rPr>
          <w:rFonts w:ascii="Palatino Linotype" w:hAnsi="Palatino Linotype"/>
        </w:rPr>
      </w:pPr>
      <w:r w:rsidRPr="00B91BBC">
        <w:rPr>
          <w:rFonts w:ascii="Palatino Linotype" w:hAnsi="Palatino Linotype"/>
        </w:rPr>
        <w:br w:type="page"/>
      </w:r>
    </w:p>
    <w:p w14:paraId="1402BB1E"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lastRenderedPageBreak/>
        <w:t>Brano 4</w:t>
      </w:r>
    </w:p>
    <w:p w14:paraId="47D12DD0" w14:textId="77777777" w:rsidR="00435201" w:rsidRPr="00B91BBC" w:rsidRDefault="00000000" w:rsidP="00B91BBC">
      <w:pPr>
        <w:pStyle w:val="Heading2"/>
        <w:jc w:val="both"/>
        <w:rPr>
          <w:rFonts w:ascii="Palatino Linotype" w:hAnsi="Palatino Linotype"/>
        </w:rPr>
      </w:pPr>
      <w:r w:rsidRPr="00B91BBC">
        <w:rPr>
          <w:rFonts w:ascii="Palatino Linotype" w:hAnsi="Palatino Linotype"/>
        </w:rPr>
        <w:t>Sat. 75–77 — Trimalchione racconta la sua vita</w:t>
      </w:r>
    </w:p>
    <w:p w14:paraId="3ED75C14" w14:textId="77777777" w:rsidR="00435201" w:rsidRPr="00B91BBC" w:rsidRDefault="00000000" w:rsidP="00B91BBC">
      <w:pPr>
        <w:spacing w:after="200"/>
        <w:jc w:val="both"/>
        <w:rPr>
          <w:rFonts w:ascii="Palatino Linotype" w:hAnsi="Palatino Linotype"/>
        </w:rPr>
      </w:pPr>
      <w:r w:rsidRPr="00B91BBC">
        <w:rPr>
          <w:rFonts w:ascii="Palatino Linotype" w:hAnsi="Palatino Linotype"/>
          <w:i/>
          <w:iCs/>
          <w:color w:val="5A4E3C"/>
        </w:rPr>
        <w:t>Nel momento più intimo della serata, Trimalchione racconta ai commensali la propria ascesa sociale da schiavo a uomo ricchissimo.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35201" w:rsidRPr="00B91BBC" w14:paraId="40B1E443" w14:textId="77777777">
        <w:tblPrEx>
          <w:tblCellMar>
            <w:top w:w="0" w:type="dxa"/>
            <w:bottom w:w="0" w:type="dxa"/>
          </w:tblCellMar>
        </w:tblPrEx>
        <w:tc>
          <w:tcPr>
            <w:tcW w:w="9026" w:type="dxa"/>
            <w:tcBorders>
              <w:top w:val="single" w:sz="1" w:space="0" w:color="D4C9B8"/>
              <w:left w:val="single" w:sz="6" w:space="0" w:color="B8915A"/>
              <w:bottom w:val="single" w:sz="1" w:space="0" w:color="D4C9B8"/>
              <w:right w:val="single" w:sz="1" w:space="0" w:color="D4C9B8"/>
            </w:tcBorders>
            <w:shd w:val="clear" w:color="auto" w:fill="FBF8F3"/>
            <w:tcMar>
              <w:top w:w="160" w:type="dxa"/>
              <w:left w:w="240" w:type="dxa"/>
              <w:bottom w:w="160" w:type="dxa"/>
              <w:right w:w="240" w:type="dxa"/>
            </w:tcMar>
          </w:tcPr>
          <w:p w14:paraId="66F44B19" w14:textId="77777777" w:rsidR="00435201" w:rsidRPr="00B91BBC" w:rsidRDefault="00000000" w:rsidP="00B91BBC">
            <w:pPr>
              <w:spacing w:after="120"/>
              <w:jc w:val="both"/>
              <w:rPr>
                <w:rFonts w:ascii="Palatino Linotype" w:hAnsi="Palatino Linotype"/>
              </w:rPr>
            </w:pPr>
            <w:r w:rsidRPr="00B91BBC">
              <w:rPr>
                <w:rFonts w:ascii="Palatino Linotype" w:hAnsi="Palatino Linotype"/>
                <w:b/>
                <w:bCs/>
                <w:caps/>
                <w:color w:val="B8915A"/>
                <w:sz w:val="20"/>
                <w:szCs w:val="20"/>
              </w:rPr>
              <w:t>TESTO IN TRADUZIONE</w:t>
            </w:r>
          </w:p>
          <w:p w14:paraId="44F1E422"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«Amici, anche gli schiavi sono uomini, e hanno succhiato lo stesso latte nostro, anche se su di loro pesa un destino cattivo. Però, se niente va storto, presto berranno l’acqua della libertà. Insomma, nel mio testamento li libero tutti. E a Filargiro lascio anche un podere e la donna con cui vive; a Carione un isolato e la ventesima e un letto con la biancheria. Perché il mio erede universale lo faccio Fortunata, e la raccomando a tutti i miei amici. E rendo pubbliche tutte queste cose perché i miei servi mi vogliano bene già adesso come se fossi già morto.»</w:t>
            </w:r>
          </w:p>
          <w:p w14:paraId="0EC9D554"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Tutti cominciarono a ringraziare il padrone per la sua generosità, quando lui, messo da parte lo scherzo, ordinò che fosse portata la copia del suo testamento e lo lesse tutto da cima a fondo, mentre i servi piangevano. Poi guardò Abinna e disse: «Dimmi, amico carissimo: stai costruendo il mio monumento come ti ho ordinato? Ti prego tanto: ai piedi della mia statua metti la mia cagnolina, e delle ghirlande, e dei profumi, e tutti i combattimenti di Petraite, così grazie a te io potrò vivere anche dopo morto. E poi fa’ in modo che abbia cento piedi di facciata e duecento di profondità. Perché intorno alla cenere voglio ogni tipo di frutto e un mucchio di viti. È un bello sbaglio avere le case belle da vivi e non pensare a quelle dove dobbiamo stare molto più a lungo. E soprattutto ci voglio scritto: QUESTO MONUMENTO NON PASSA ALL’EREDE.»</w:t>
            </w:r>
          </w:p>
          <w:p w14:paraId="7009BD59"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Scoppiò in lacrime, pianse Fortunata, pianse Abinna, alla fine piangevamo tutti, quando Trimalchione disse: «E allora, visto che sappiamo che ci tocca morire, perché non ci godiamo la vita? Dai, tuffiamoci in un bel bagno caldo!»</w:t>
            </w:r>
          </w:p>
        </w:tc>
      </w:tr>
    </w:tbl>
    <w:p w14:paraId="038EAB98" w14:textId="77777777" w:rsidR="00435201" w:rsidRPr="00B91BBC" w:rsidRDefault="00000000" w:rsidP="00B91BBC">
      <w:pPr>
        <w:spacing w:before="240" w:after="100"/>
        <w:jc w:val="both"/>
        <w:rPr>
          <w:rFonts w:ascii="Palatino Linotype" w:hAnsi="Palatino Linotype"/>
        </w:rPr>
      </w:pPr>
      <w:r w:rsidRPr="00B91BBC">
        <w:rPr>
          <w:rFonts w:ascii="Palatino Linotype" w:hAnsi="Palatino Linotype"/>
          <w:b/>
          <w:bCs/>
          <w:color w:val="5A4E3C"/>
        </w:rPr>
        <w:t>Commento</w:t>
      </w:r>
    </w:p>
    <w:p w14:paraId="1359A41D"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sz w:val="23"/>
          <w:szCs w:val="23"/>
        </w:rPr>
        <w:lastRenderedPageBreak/>
        <w:t>La scena rivela la complessità di Trimalchione: la liberazione degli schiavi è un gesto autentico di chi ricorda la propria origine servile, ma subito si mescola all’ostentazione funebre grottesca. L’ossessione per il monumento e l’epitaffio mostra un uomo che cerca disperatamente di dare un senso alla propria esistenza. Il riso si fa malinconico.</w:t>
      </w:r>
    </w:p>
    <w:p w14:paraId="70F9A15B" w14:textId="77777777" w:rsidR="00435201" w:rsidRPr="00B91BBC" w:rsidRDefault="00000000" w:rsidP="00B91BBC">
      <w:pPr>
        <w:jc w:val="both"/>
        <w:rPr>
          <w:rFonts w:ascii="Palatino Linotype" w:hAnsi="Palatino Linotype"/>
        </w:rPr>
      </w:pPr>
      <w:r w:rsidRPr="00B91BBC">
        <w:rPr>
          <w:rFonts w:ascii="Palatino Linotype" w:hAnsi="Palatino Linotype"/>
        </w:rPr>
        <w:br w:type="page"/>
      </w:r>
    </w:p>
    <w:p w14:paraId="33B0226F"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lastRenderedPageBreak/>
        <w:t>Brano 5</w:t>
      </w:r>
    </w:p>
    <w:p w14:paraId="0725D844" w14:textId="77777777" w:rsidR="00435201" w:rsidRPr="00B91BBC" w:rsidRDefault="00000000" w:rsidP="00B91BBC">
      <w:pPr>
        <w:pStyle w:val="Heading2"/>
        <w:jc w:val="both"/>
        <w:rPr>
          <w:rFonts w:ascii="Palatino Linotype" w:hAnsi="Palatino Linotype"/>
        </w:rPr>
      </w:pPr>
      <w:r w:rsidRPr="00B91BBC">
        <w:rPr>
          <w:rFonts w:ascii="Palatino Linotype" w:hAnsi="Palatino Linotype"/>
        </w:rPr>
        <w:t>Sat. 118 — Eumolpo e la poetica</w:t>
      </w:r>
    </w:p>
    <w:p w14:paraId="51E6574F" w14:textId="77777777" w:rsidR="00435201" w:rsidRPr="00B91BBC" w:rsidRDefault="00000000" w:rsidP="00B91BBC">
      <w:pPr>
        <w:spacing w:after="200"/>
        <w:jc w:val="both"/>
        <w:rPr>
          <w:rFonts w:ascii="Palatino Linotype" w:hAnsi="Palatino Linotype"/>
        </w:rPr>
      </w:pPr>
      <w:r w:rsidRPr="00B91BBC">
        <w:rPr>
          <w:rFonts w:ascii="Palatino Linotype" w:hAnsi="Palatino Linotype"/>
          <w:i/>
          <w:iCs/>
          <w:color w:val="5A4E3C"/>
        </w:rPr>
        <w:t>Il poeta Eumolpo espone le sue idee sull’arte poetica prima di recitare un poemetto sulla guerra civile. Un manifesto estetico dentro il romanzo.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35201" w:rsidRPr="00B91BBC" w14:paraId="4E9E16AC" w14:textId="77777777">
        <w:tblPrEx>
          <w:tblCellMar>
            <w:top w:w="0" w:type="dxa"/>
            <w:bottom w:w="0" w:type="dxa"/>
          </w:tblCellMar>
        </w:tblPrEx>
        <w:tc>
          <w:tcPr>
            <w:tcW w:w="9026" w:type="dxa"/>
            <w:tcBorders>
              <w:top w:val="single" w:sz="1" w:space="0" w:color="D4C9B8"/>
              <w:left w:val="single" w:sz="6" w:space="0" w:color="B8915A"/>
              <w:bottom w:val="single" w:sz="1" w:space="0" w:color="D4C9B8"/>
              <w:right w:val="single" w:sz="1" w:space="0" w:color="D4C9B8"/>
            </w:tcBorders>
            <w:shd w:val="clear" w:color="auto" w:fill="FBF8F3"/>
            <w:tcMar>
              <w:top w:w="160" w:type="dxa"/>
              <w:left w:w="240" w:type="dxa"/>
              <w:bottom w:w="160" w:type="dxa"/>
              <w:right w:w="240" w:type="dxa"/>
            </w:tcMar>
          </w:tcPr>
          <w:p w14:paraId="0CB04ACB" w14:textId="77777777" w:rsidR="00435201" w:rsidRPr="00B91BBC" w:rsidRDefault="00000000" w:rsidP="00B91BBC">
            <w:pPr>
              <w:spacing w:after="120"/>
              <w:jc w:val="both"/>
              <w:rPr>
                <w:rFonts w:ascii="Palatino Linotype" w:hAnsi="Palatino Linotype"/>
              </w:rPr>
            </w:pPr>
            <w:r w:rsidRPr="00B91BBC">
              <w:rPr>
                <w:rFonts w:ascii="Palatino Linotype" w:hAnsi="Palatino Linotype"/>
                <w:b/>
                <w:bCs/>
                <w:caps/>
                <w:color w:val="B8915A"/>
                <w:sz w:val="20"/>
                <w:szCs w:val="20"/>
              </w:rPr>
              <w:t>TESTO IN TRADUZIONE</w:t>
            </w:r>
          </w:p>
          <w:p w14:paraId="62320019"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«Molti giovani si lasciano ingannare dalla poesia: non appena uno è riuscito a mettere insieme un verso che fila e ha tradotto un pensiero un po’ più delicato in un giro di parole, crede di aver già scalato l’Elicona. Così, per esempio, gente che si è consumata nell’esercizio delle cause forensi spesso si rifugia nella quiete della poesia come in un porto più sicuro, convinti che sia più facile costruire un poema che una controversia decorata di battute scintillanti. Ma uno spirito più nobile non ama le frivolezze, e la mente non può concepire né partorire nulla se non è stata prima inondata dal fiume impetuoso della grande letteratura.</w:t>
            </w:r>
          </w:p>
          <w:p w14:paraId="333A9B52"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Bisogna fuggire ogni forma di espressione volgare e scegliere parole lontane dal parlato, mettendo in pratica il principio: “Odi il volgo profano e lo tengo lontano”. Inoltre, bisogna fare in modo che le sentenze non sembrino spuntare fuori dal tessuto del discorso, ma risplendano come colori intessuti in una stoffa preziosa. A dimostrarlo bastano Omero, i lirici, il romano Virgilio e la felice cura di Orazio. Gli altri, o non videro la via che conduce alla poesia, o, avendola vista, non ebbero il coraggio di percorrerla.</w:t>
            </w:r>
          </w:p>
          <w:p w14:paraId="6A656344" w14:textId="77777777" w:rsidR="00435201" w:rsidRPr="00B91BBC" w:rsidRDefault="00000000" w:rsidP="00B91BBC">
            <w:pPr>
              <w:spacing w:after="140" w:line="360" w:lineRule="auto"/>
              <w:jc w:val="both"/>
              <w:rPr>
                <w:rFonts w:ascii="Palatino Linotype" w:hAnsi="Palatino Linotype"/>
              </w:rPr>
            </w:pPr>
            <w:r w:rsidRPr="00B91BBC">
              <w:rPr>
                <w:rFonts w:ascii="Palatino Linotype" w:hAnsi="Palatino Linotype"/>
                <w:sz w:val="23"/>
                <w:szCs w:val="23"/>
              </w:rPr>
              <w:t>Ecco, per esempio, chi si cimenti nel grande tema della guerra civile: se non è nutrito di lettere fino al midollo, soccomberà sotto il peso della materia. Non si tratta infatti di mettere in versi dei fatti reali — gli storici fanno questo molto meglio — ma di lanciare lo spirito libero attraverso enigmi, interventi divini, ricerca affannosa dell’espressione mitologica, in modo che il risultato sembri piuttosto il vaticinio di un’anima in delirio profetico che un resoconto fedele sotto il vincolo dei testimoni.»</w:t>
            </w:r>
          </w:p>
        </w:tc>
      </w:tr>
    </w:tbl>
    <w:p w14:paraId="21D89EB3" w14:textId="77777777" w:rsidR="00435201" w:rsidRPr="00B91BBC" w:rsidRDefault="00000000" w:rsidP="00B91BBC">
      <w:pPr>
        <w:spacing w:before="240" w:after="100"/>
        <w:jc w:val="both"/>
        <w:rPr>
          <w:rFonts w:ascii="Palatino Linotype" w:hAnsi="Palatino Linotype"/>
        </w:rPr>
      </w:pPr>
      <w:r w:rsidRPr="00B91BBC">
        <w:rPr>
          <w:rFonts w:ascii="Palatino Linotype" w:hAnsi="Palatino Linotype"/>
          <w:b/>
          <w:bCs/>
          <w:color w:val="5A4E3C"/>
        </w:rPr>
        <w:t>Commento</w:t>
      </w:r>
    </w:p>
    <w:p w14:paraId="0E4D072E"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sz w:val="23"/>
          <w:szCs w:val="23"/>
        </w:rPr>
        <w:lastRenderedPageBreak/>
        <w:t>Eumolpo espone una poetica “alta”, neoclassica, che esalta Virgilio e Orazio. Ma il lettore sa che Eumolpo è un poeta mediocre, deriso e ignorato. Il suo poemetto sulla guerra civile è forse un’imitazione di Lucano, forse una parodia. L’ambiguità è tipica di Petronio: anche quando sembra “serio”, l’ironia non scompare mai.</w:t>
      </w:r>
    </w:p>
    <w:p w14:paraId="3C19347F" w14:textId="77777777" w:rsidR="00435201" w:rsidRPr="00B91BBC" w:rsidRDefault="00000000" w:rsidP="00B91BBC">
      <w:pPr>
        <w:jc w:val="both"/>
        <w:rPr>
          <w:rFonts w:ascii="Palatino Linotype" w:hAnsi="Palatino Linotype"/>
        </w:rPr>
      </w:pPr>
      <w:r w:rsidRPr="00B91BBC">
        <w:rPr>
          <w:rFonts w:ascii="Palatino Linotype" w:hAnsi="Palatino Linotype"/>
        </w:rPr>
        <w:br w:type="page"/>
      </w:r>
    </w:p>
    <w:p w14:paraId="2DFFBC3D" w14:textId="77777777" w:rsidR="00435201" w:rsidRPr="00B91BBC" w:rsidRDefault="00000000" w:rsidP="00B91BBC">
      <w:pPr>
        <w:pStyle w:val="Heading1"/>
        <w:jc w:val="both"/>
        <w:rPr>
          <w:rFonts w:ascii="Palatino Linotype" w:hAnsi="Palatino Linotype"/>
        </w:rPr>
      </w:pPr>
      <w:r w:rsidRPr="00B91BBC">
        <w:rPr>
          <w:rFonts w:ascii="Palatino Linotype" w:hAnsi="Palatino Linotype"/>
        </w:rPr>
        <w:lastRenderedPageBreak/>
        <w:t>Nota bibliografica</w:t>
      </w:r>
    </w:p>
    <w:p w14:paraId="46E52A4E" w14:textId="77777777" w:rsidR="00435201" w:rsidRPr="00B91BBC" w:rsidRDefault="00000000" w:rsidP="00B91BBC">
      <w:pPr>
        <w:spacing w:after="200" w:line="340" w:lineRule="auto"/>
        <w:jc w:val="both"/>
        <w:rPr>
          <w:rFonts w:ascii="Palatino Linotype" w:hAnsi="Palatino Linotype"/>
        </w:rPr>
      </w:pPr>
      <w:r w:rsidRPr="00B91BBC">
        <w:rPr>
          <w:rFonts w:ascii="Palatino Linotype" w:hAnsi="Palatino Linotype"/>
        </w:rPr>
        <w:t>Le traduzioni qui proposte sono un adattamento didattico basato sulle principali edizioni italiane del Satyricon. Per un confronto con il testo latino e per traduzioni integrali si rimanda a:</w:t>
      </w:r>
    </w:p>
    <w:p w14:paraId="6094CA60" w14:textId="77777777" w:rsidR="00435201" w:rsidRPr="00B91BBC" w:rsidRDefault="00000000" w:rsidP="00B91BBC">
      <w:pPr>
        <w:spacing w:after="100" w:line="340" w:lineRule="auto"/>
        <w:ind w:left="360"/>
        <w:jc w:val="both"/>
        <w:rPr>
          <w:rFonts w:ascii="Palatino Linotype" w:hAnsi="Palatino Linotype"/>
        </w:rPr>
      </w:pPr>
      <w:r w:rsidRPr="00B91BBC">
        <w:rPr>
          <w:rFonts w:ascii="Palatino Linotype" w:hAnsi="Palatino Linotype"/>
          <w:sz w:val="23"/>
          <w:szCs w:val="23"/>
        </w:rPr>
        <w:t>• Petronio, Satyricon, a cura di A. Aragosti, BUR Rizzoli</w:t>
      </w:r>
    </w:p>
    <w:p w14:paraId="4724AF20" w14:textId="77777777" w:rsidR="00435201" w:rsidRPr="00B91BBC" w:rsidRDefault="00000000" w:rsidP="00B91BBC">
      <w:pPr>
        <w:spacing w:after="100" w:line="340" w:lineRule="auto"/>
        <w:ind w:left="360"/>
        <w:jc w:val="both"/>
        <w:rPr>
          <w:rFonts w:ascii="Palatino Linotype" w:hAnsi="Palatino Linotype"/>
        </w:rPr>
      </w:pPr>
      <w:r w:rsidRPr="00B91BBC">
        <w:rPr>
          <w:rFonts w:ascii="Palatino Linotype" w:hAnsi="Palatino Linotype"/>
          <w:sz w:val="23"/>
          <w:szCs w:val="23"/>
        </w:rPr>
        <w:t>• Petronio, Satyricon, a cura di L. Canali e V. Limentani, Bompiani</w:t>
      </w:r>
    </w:p>
    <w:p w14:paraId="655F27D4" w14:textId="77777777" w:rsidR="00435201" w:rsidRPr="00B91BBC" w:rsidRDefault="00000000" w:rsidP="00B91BBC">
      <w:pPr>
        <w:spacing w:after="100" w:line="340" w:lineRule="auto"/>
        <w:ind w:left="360"/>
        <w:jc w:val="both"/>
        <w:rPr>
          <w:rFonts w:ascii="Palatino Linotype" w:hAnsi="Palatino Linotype"/>
        </w:rPr>
      </w:pPr>
      <w:r w:rsidRPr="00B91BBC">
        <w:rPr>
          <w:rFonts w:ascii="Palatino Linotype" w:hAnsi="Palatino Linotype"/>
          <w:sz w:val="23"/>
          <w:szCs w:val="23"/>
        </w:rPr>
        <w:t>• Petronio, Cena Trimalchionis, a cura di M. Scarsi, Mondadori</w:t>
      </w:r>
    </w:p>
    <w:p w14:paraId="0E87DB9E" w14:textId="77777777" w:rsidR="00435201" w:rsidRPr="00B91BBC" w:rsidRDefault="00000000" w:rsidP="00B91BBC">
      <w:pPr>
        <w:spacing w:before="300" w:after="200" w:line="340" w:lineRule="auto"/>
        <w:jc w:val="both"/>
        <w:rPr>
          <w:rFonts w:ascii="Palatino Linotype" w:hAnsi="Palatino Linotype"/>
        </w:rPr>
      </w:pPr>
      <w:r w:rsidRPr="00B91BBC">
        <w:rPr>
          <w:rFonts w:ascii="Palatino Linotype" w:hAnsi="Palatino Linotype"/>
          <w:i/>
          <w:iCs/>
          <w:color w:val="5A4E3C"/>
          <w:sz w:val="23"/>
          <w:szCs w:val="23"/>
        </w:rPr>
        <w:t>I commenti ai brani sono originali e pensati per la preparazione alla seconda prova dell’Esame di Stato.</w:t>
      </w:r>
    </w:p>
    <w:sectPr w:rsidR="00435201" w:rsidRPr="00B91BB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A4CD4" w14:textId="77777777" w:rsidR="00AC7F94" w:rsidRDefault="00AC7F94">
      <w:r>
        <w:separator/>
      </w:r>
    </w:p>
  </w:endnote>
  <w:endnote w:type="continuationSeparator" w:id="0">
    <w:p w14:paraId="315A261E" w14:textId="77777777" w:rsidR="00AC7F94" w:rsidRDefault="00AC7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2A614" w14:textId="77777777" w:rsidR="00435201" w:rsidRDefault="00000000">
    <w:pPr>
      <w:pBdr>
        <w:top w:val="single" w:sz="1" w:space="4" w:color="CCCCCC"/>
      </w:pBdr>
      <w:jc w:val="center"/>
    </w:pPr>
    <w:r>
      <w:rPr>
        <w:color w:val="999999"/>
        <w:sz w:val="18"/>
        <w:szCs w:val="18"/>
      </w:rPr>
      <w:t xml:space="preserve">Prof. Andrea Vaccaro — Lingua e Cultura Latina — Pag. </w:t>
    </w:r>
    <w:r>
      <w:rPr>
        <w:color w:val="999999"/>
        <w:sz w:val="18"/>
        <w:szCs w:val="18"/>
      </w:rPr>
      <w:fldChar w:fldCharType="begin"/>
    </w:r>
    <w:r>
      <w:rPr>
        <w:color w:val="999999"/>
        <w:sz w:val="18"/>
        <w:szCs w:val="18"/>
      </w:rPr>
      <w:instrText>PAGE</w:instrText>
    </w:r>
    <w:r>
      <w:rPr>
        <w:color w:val="999999"/>
        <w:sz w:val="18"/>
        <w:szCs w:val="18"/>
      </w:rPr>
      <w:fldChar w:fldCharType="separate"/>
    </w:r>
    <w:r w:rsidR="00B91BBC">
      <w:rPr>
        <w:noProof/>
        <w:color w:val="999999"/>
        <w:sz w:val="18"/>
        <w:szCs w:val="18"/>
      </w:rPr>
      <w:t>2</w:t>
    </w:r>
    <w:r>
      <w:rPr>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5536" w14:textId="77777777" w:rsidR="00AC7F94" w:rsidRDefault="00AC7F94">
      <w:r>
        <w:separator/>
      </w:r>
    </w:p>
  </w:footnote>
  <w:footnote w:type="continuationSeparator" w:id="0">
    <w:p w14:paraId="4CFC7055" w14:textId="77777777" w:rsidR="00AC7F94" w:rsidRDefault="00AC7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FD24" w14:textId="77777777" w:rsidR="00435201" w:rsidRDefault="00000000">
    <w:pPr>
      <w:jc w:val="right"/>
    </w:pPr>
    <w:r>
      <w:rPr>
        <w:i/>
        <w:iCs/>
        <w:color w:val="999999"/>
        <w:sz w:val="18"/>
        <w:szCs w:val="18"/>
      </w:rPr>
      <w:t>Petronio e il Satyricon — Dispensa antologica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F516B"/>
    <w:multiLevelType w:val="hybridMultilevel"/>
    <w:tmpl w:val="3260D656"/>
    <w:lvl w:ilvl="0" w:tplc="47667FE8">
      <w:start w:val="1"/>
      <w:numFmt w:val="bullet"/>
      <w:lvlText w:val="●"/>
      <w:lvlJc w:val="left"/>
      <w:pPr>
        <w:ind w:left="720" w:hanging="360"/>
      </w:pPr>
    </w:lvl>
    <w:lvl w:ilvl="1" w:tplc="79AE8654">
      <w:start w:val="1"/>
      <w:numFmt w:val="bullet"/>
      <w:lvlText w:val="○"/>
      <w:lvlJc w:val="left"/>
      <w:pPr>
        <w:ind w:left="1440" w:hanging="360"/>
      </w:pPr>
    </w:lvl>
    <w:lvl w:ilvl="2" w:tplc="C430207C">
      <w:start w:val="1"/>
      <w:numFmt w:val="bullet"/>
      <w:lvlText w:val="■"/>
      <w:lvlJc w:val="left"/>
      <w:pPr>
        <w:ind w:left="2160" w:hanging="360"/>
      </w:pPr>
    </w:lvl>
    <w:lvl w:ilvl="3" w:tplc="954879B0">
      <w:start w:val="1"/>
      <w:numFmt w:val="bullet"/>
      <w:lvlText w:val="●"/>
      <w:lvlJc w:val="left"/>
      <w:pPr>
        <w:ind w:left="2880" w:hanging="360"/>
      </w:pPr>
    </w:lvl>
    <w:lvl w:ilvl="4" w:tplc="C12E9FAC">
      <w:start w:val="1"/>
      <w:numFmt w:val="bullet"/>
      <w:lvlText w:val="○"/>
      <w:lvlJc w:val="left"/>
      <w:pPr>
        <w:ind w:left="3600" w:hanging="360"/>
      </w:pPr>
    </w:lvl>
    <w:lvl w:ilvl="5" w:tplc="1FC88A16">
      <w:start w:val="1"/>
      <w:numFmt w:val="bullet"/>
      <w:lvlText w:val="■"/>
      <w:lvlJc w:val="left"/>
      <w:pPr>
        <w:ind w:left="4320" w:hanging="360"/>
      </w:pPr>
    </w:lvl>
    <w:lvl w:ilvl="6" w:tplc="DE68E8E8">
      <w:start w:val="1"/>
      <w:numFmt w:val="bullet"/>
      <w:lvlText w:val="●"/>
      <w:lvlJc w:val="left"/>
      <w:pPr>
        <w:ind w:left="5040" w:hanging="360"/>
      </w:pPr>
    </w:lvl>
    <w:lvl w:ilvl="7" w:tplc="C7323F76">
      <w:start w:val="1"/>
      <w:numFmt w:val="bullet"/>
      <w:lvlText w:val="●"/>
      <w:lvlJc w:val="left"/>
      <w:pPr>
        <w:ind w:left="5760" w:hanging="360"/>
      </w:pPr>
    </w:lvl>
    <w:lvl w:ilvl="8" w:tplc="EE385D12">
      <w:start w:val="1"/>
      <w:numFmt w:val="bullet"/>
      <w:lvlText w:val="●"/>
      <w:lvlJc w:val="left"/>
      <w:pPr>
        <w:ind w:left="6480" w:hanging="360"/>
      </w:pPr>
    </w:lvl>
  </w:abstractNum>
  <w:num w:numId="1" w16cid:durableId="1494500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201"/>
    <w:rsid w:val="00395136"/>
    <w:rsid w:val="00435201"/>
    <w:rsid w:val="00AC7F94"/>
    <w:rsid w:val="00B91BBC"/>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45D3B775"/>
  <w15:docId w15:val="{279C27DD-187C-FC41-9D9D-B4D01103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2C2416"/>
      <w:sz w:val="36"/>
      <w:szCs w:val="36"/>
    </w:rPr>
  </w:style>
  <w:style w:type="paragraph" w:styleId="Heading2">
    <w:name w:val="heading 2"/>
    <w:uiPriority w:val="9"/>
    <w:unhideWhenUsed/>
    <w:qFormat/>
    <w:pPr>
      <w:spacing w:before="280" w:after="160"/>
      <w:outlineLvl w:val="1"/>
    </w:pPr>
    <w:rPr>
      <w:b/>
      <w:bCs/>
      <w:color w:val="5A4E3C"/>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1845</Words>
  <Characters>10521</Characters>
  <Application>Microsoft Office Word</Application>
  <DocSecurity>0</DocSecurity>
  <Lines>87</Lines>
  <Paragraphs>24</Paragraphs>
  <ScaleCrop>false</ScaleCrop>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Andrea Vaccaro</cp:lastModifiedBy>
  <cp:revision>2</cp:revision>
  <dcterms:created xsi:type="dcterms:W3CDTF">2026-02-25T15:32:00Z</dcterms:created>
  <dcterms:modified xsi:type="dcterms:W3CDTF">2026-02-25T15:42:00Z</dcterms:modified>
</cp:coreProperties>
</file>